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9" w:rsidRDefault="000E2EA9" w:rsidP="000E2EA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ZAHTJEV </w:t>
      </w:r>
      <w:r w:rsidRPr="000D3C05">
        <w:rPr>
          <w:rFonts w:ascii="Tahoma" w:hAnsi="Tahoma" w:cs="Tahoma"/>
          <w:b/>
          <w:color w:val="000000"/>
          <w:sz w:val="22"/>
          <w:szCs w:val="22"/>
        </w:rPr>
        <w:t>ZA  PROVEDBU ZADAĆA TREĆE STRANE</w:t>
      </w: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0E2EA9" w:rsidRPr="00C80E80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Default="000E2EA9" w:rsidP="000E2EA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POSTUPCIMA OCJENJIVANJA I PROVJERE STALNOSTI SVOJSTAVA  </w:t>
      </w:r>
    </w:p>
    <w:p w:rsidR="000E2EA9" w:rsidRPr="00C80E80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Pr="00575763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Pr="002B6F73" w:rsidRDefault="000E2EA9" w:rsidP="000E2EA9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944"/>
        <w:gridCol w:w="716"/>
        <w:gridCol w:w="135"/>
        <w:gridCol w:w="147"/>
        <w:gridCol w:w="12"/>
        <w:gridCol w:w="549"/>
        <w:gridCol w:w="689"/>
        <w:gridCol w:w="10"/>
        <w:gridCol w:w="29"/>
        <w:gridCol w:w="244"/>
        <w:gridCol w:w="2007"/>
        <w:gridCol w:w="984"/>
        <w:gridCol w:w="724"/>
        <w:gridCol w:w="142"/>
        <w:gridCol w:w="151"/>
        <w:gridCol w:w="12"/>
        <w:gridCol w:w="980"/>
      </w:tblGrid>
      <w:tr w:rsidR="000E2EA9" w:rsidRPr="0015288F" w:rsidTr="00D8145F">
        <w:trPr>
          <w:trHeight w:val="591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1.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PRAVNA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OSOBA</w:t>
            </w: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NAZIV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25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ADRESA SJEDIŠTA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43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BROJ TEL/FAX-a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Adresa intrenetske stranice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190"/>
        </w:trPr>
        <w:tc>
          <w:tcPr>
            <w:tcW w:w="9322" w:type="dxa"/>
            <w:gridSpan w:val="20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835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2" w:type="dxa"/>
            <w:gridSpan w:val="6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OSOBA OVLAŠTENA ZA ZASTUPANJE TVRTKE</w:t>
            </w: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534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457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186"/>
        </w:trPr>
        <w:tc>
          <w:tcPr>
            <w:tcW w:w="9322" w:type="dxa"/>
            <w:gridSpan w:val="20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879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 w:val="restart"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 xml:space="preserve">KONTAKT OSOBA </w:t>
            </w: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51"/>
        </w:trPr>
        <w:tc>
          <w:tcPr>
            <w:tcW w:w="832" w:type="dxa"/>
            <w:gridSpan w:val="2"/>
            <w:vMerge/>
            <w:shd w:val="clear" w:color="auto" w:fill="DEDEDE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390"/>
        </w:trPr>
        <w:tc>
          <w:tcPr>
            <w:tcW w:w="832" w:type="dxa"/>
            <w:gridSpan w:val="2"/>
            <w:vMerge/>
            <w:shd w:val="clear" w:color="auto" w:fill="DEDEDE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260"/>
        </w:trPr>
        <w:tc>
          <w:tcPr>
            <w:tcW w:w="4078" w:type="dxa"/>
            <w:gridSpan w:val="12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MBS 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(matični broj subjekta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iz registracije Trgovačkog suda)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spacing w:after="200" w:line="276" w:lineRule="auto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OIB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Default="000E2EA9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DOKAZ O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OSIGURANJU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ZA ŠTETU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  <w:p w:rsidR="000E2EA9" w:rsidRPr="000428DB" w:rsidRDefault="000E2EA9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/naziv osiguravajućeg društva, broj i datum važenja police osiguranja/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DC507D" w:rsidTr="00D8145F">
        <w:tblPrEx>
          <w:tblLook w:val="0000" w:firstRow="0" w:lastRow="0" w:firstColumn="0" w:lastColumn="0" w:noHBand="0" w:noVBand="0"/>
        </w:tblPrEx>
        <w:trPr>
          <w:cantSplit/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Tehnički propis u kojem su propisani zahtjevi za proizvod, odnosno koji upućuje na usklađenu tehničku specifikaciju za građevni proizvod/skupinu/ </w:t>
            </w:r>
          </w:p>
          <w:p w:rsidR="000E2EA9" w:rsidRPr="00463F1B" w:rsidRDefault="000E2EA9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/upisati puni naziv tehničkog propisa i broj narodnih novina/</w:t>
            </w: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55E0C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31257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31257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0E2EA9" w:rsidRPr="00DC507D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7.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 xml:space="preserve">Br. Odluke Europske komisije koja se odnosi na građevni proizvod  </w:t>
            </w:r>
          </w:p>
          <w:p w:rsidR="000E2EA9" w:rsidRPr="004030BE" w:rsidRDefault="000E2EA9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(e-adrese na kojoima su dostupne odluke EK:</w:t>
            </w:r>
            <w:r w:rsidRPr="000428DB"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 </w:t>
            </w:r>
            <w:hyperlink r:id="rId7" w:history="1">
              <w:r w:rsidRPr="000428DB">
                <w:rPr>
                  <w:rStyle w:val="Hiperveza"/>
                  <w:rFonts w:asciiTheme="minorHAnsi" w:hAnsiTheme="minorHAnsi" w:cs="Tahoma"/>
                  <w:noProof/>
                  <w:sz w:val="18"/>
                  <w:szCs w:val="18"/>
                </w:rPr>
                <w:t>http://eur-lex.europa.eu/</w:t>
              </w:r>
            </w:hyperlink>
            <w:r w:rsidRPr="000428DB"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, </w:t>
            </w:r>
            <w:hyperlink r:id="rId8" w:history="1">
              <w:r w:rsidRPr="000428DB">
                <w:rPr>
                  <w:rStyle w:val="Hiperveza"/>
                  <w:rFonts w:asciiTheme="minorHAnsi" w:hAnsiTheme="minorHAnsi" w:cs="Tahoma"/>
                  <w:sz w:val="18"/>
                  <w:szCs w:val="18"/>
                </w:rPr>
                <w:t>http://ec.europa.eu/enterprise/newapproach/nando/</w:t>
              </w:r>
            </w:hyperlink>
            <w:r w:rsidRPr="000428DB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7.1.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55E0C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01B85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01B85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8.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Građevni proizvod/skupina građevnog proizvoda 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/podatke upisati iz odluke EK navedene u točki 7./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NAZIV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NAMJERAVANA UPORABA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SUSTAV 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OCJENJIVANJA 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8.1.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usklađenih tehničkih specifikacija za građevne proizvode navedene u  točki 8.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za koje se podnosi zahtjev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(popis usklađenih europskih specifikacija dostupan na e-adresi:</w:t>
            </w:r>
            <w:r w:rsidRPr="000428DB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hyperlink r:id="rId9" w:history="1">
              <w:r w:rsidRPr="000428DB">
                <w:rPr>
                  <w:rStyle w:val="Hiperveza"/>
                  <w:rFonts w:asciiTheme="minorHAnsi" w:hAnsiTheme="minorHAnsi" w:cs="Tahoma"/>
                  <w:sz w:val="18"/>
                  <w:szCs w:val="18"/>
                </w:rPr>
                <w:t>http://ec.europa.eu/enterprise/newapproach/nando/</w:t>
              </w:r>
            </w:hyperlink>
            <w:r w:rsidRPr="000428DB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Popis normi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koje se podnosi zahtjev, 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na koje upućuju usklađene tehničke specifikacije iz točke 9.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Zahtjev podnosimo za obavljanje sljedećih radnji u postupku 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ocjenjivanja i provjere stalnosti svojstava  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građevnih proizvoda iz točke 8.   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/u predviđeni stupac upisati: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„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“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11.1. 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6FFB">
              <w:rPr>
                <w:rFonts w:asciiTheme="minorHAnsi" w:hAnsiTheme="minorHAnsi" w:cs="Tahoma"/>
                <w:b/>
                <w:sz w:val="20"/>
                <w:szCs w:val="20"/>
              </w:rPr>
              <w:t xml:space="preserve">LABORATORIJ za radnje ocjenjivanja svojstava građevnog proizvoda na temelju ispitivanja, </w:t>
            </w:r>
            <w:r w:rsidRPr="000E6FFB">
              <w:rPr>
                <w:rFonts w:asciiTheme="minorHAnsi" w:hAnsiTheme="minorHAnsi" w:cs="Lucida Sans Unicode"/>
                <w:b/>
                <w:sz w:val="20"/>
                <w:szCs w:val="20"/>
              </w:rPr>
              <w:t>proračuna, tabličnih vrijednosti ili opisne dokumentacije građevnog proizvoda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11.2.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ISPITNI LABORATORIJ ZA radnje ocjenjivanja i provjere svojstava građevnih proizvoda u odnosu na bitne značajke: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11.2.1.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reakcije na požar, prema sljedećim normama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0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4pt;height:18.35pt" o:ole="">
                  <v:imagedata r:id="rId10" o:title=""/>
                </v:shape>
                <w:control r:id="rId11" w:name="DefaultOcxName" w:shapeid="_x0000_i110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13823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09" type="#_x0000_t75" style="width:20.4pt;height:18.35pt" o:ole="">
                  <v:imagedata r:id="rId10" o:title=""/>
                </v:shape>
                <w:control r:id="rId12" w:name="DefaultOcxName1" w:shapeid="_x0000_i110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1182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12" type="#_x0000_t75" style="width:20.4pt;height:18.35pt" o:ole="">
                  <v:imagedata r:id="rId10" o:title=""/>
                </v:shape>
                <w:control r:id="rId13" w:name="DefaultOcxName2" w:shapeid="_x0000_i111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11925-2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15" type="#_x0000_t75" style="width:20.4pt;height:18.35pt" o:ole="">
                  <v:imagedata r:id="rId10" o:title=""/>
                </v:shape>
                <w:control r:id="rId14" w:name="DefaultOcxName3" w:shapeid="_x0000_i111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1716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18" type="#_x0000_t75" style="width:20.4pt;height:18.35pt" o:ole="">
                  <v:imagedata r:id="rId10" o:title=""/>
                </v:shape>
                <w:control r:id="rId15" w:name="DefaultOcxName4" w:shapeid="_x0000_i111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9239-1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11.2.2.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otpornosti na požar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,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B42A2" w:rsidRDefault="000E2EA9" w:rsidP="00D8145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8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125D2F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21" type="#_x0000_t75" style="width:20.4pt;height:18.35pt" o:ole="">
                  <v:imagedata r:id="rId10" o:title=""/>
                </v:shape>
                <w:control r:id="rId16" w:name="DefaultOcxName61" w:shapeid="_x0000_i112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EN 13216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24" type="#_x0000_t75" style="width:20.4pt;height:18.35pt" o:ole="">
                  <v:imagedata r:id="rId10" o:title=""/>
                </v:shape>
                <w:control r:id="rId17" w:name="DefaultOcxName6" w:shapeid="_x0000_i112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13381-1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11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27" type="#_x0000_t75" style="width:20.4pt;height:18.35pt" o:ole="">
                  <v:imagedata r:id="rId10" o:title=""/>
                </v:shape>
                <w:control r:id="rId18" w:name="DefaultOcxName71" w:shapeid="_x0000_i112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0" type="#_x0000_t75" style="width:20.4pt;height:18.35pt" o:ole="">
                  <v:imagedata r:id="rId10" o:title=""/>
                </v:shape>
                <w:control r:id="rId19" w:name="DefaultOcxName81" w:shapeid="_x0000_i113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3" type="#_x0000_t75" style="width:20.4pt;height:18.35pt" o:ole="">
                  <v:imagedata r:id="rId10" o:title=""/>
                </v:shape>
                <w:control r:id="rId20" w:name="DefaultOcxName91" w:shapeid="_x0000_i113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13381-8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6" type="#_x0000_t75" style="width:20.4pt;height:18.35pt" o:ole="">
                  <v:imagedata r:id="rId10" o:title=""/>
                </v:shape>
                <w:control r:id="rId21" w:name="DefaultOcxName101" w:shapeid="_x0000_i113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1364-1</w:t>
            </w:r>
          </w:p>
          <w:p w:rsidR="000E2EA9" w:rsidRPr="00125D2F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39" type="#_x0000_t75" style="width:20.4pt;height:18.35pt" o:ole="">
                  <v:imagedata r:id="rId10" o:title=""/>
                </v:shape>
                <w:control r:id="rId22" w:name="DefaultOcxName111" w:shapeid="_x0000_i113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42" type="#_x0000_t75" style="width:20.4pt;height:18.35pt" o:ole="">
                  <v:imagedata r:id="rId10" o:title=""/>
                </v:shape>
                <w:control r:id="rId23" w:name="DefaultOcxName121" w:shapeid="_x0000_i114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45" type="#_x0000_t75" style="width:20.4pt;height:18.35pt" o:ole="">
                  <v:imagedata r:id="rId10" o:title=""/>
                </v:shape>
                <w:control r:id="rId24" w:name="DefaultOcxName131" w:shapeid="_x0000_i114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48" type="#_x0000_t75" style="width:20.4pt;height:18.35pt" o:ole="">
                  <v:imagedata r:id="rId10" o:title=""/>
                </v:shape>
                <w:control r:id="rId25" w:name="DefaultOcxName141" w:shapeid="_x0000_i114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51" type="#_x0000_t75" style="width:20.4pt;height:18.35pt" o:ole="">
                  <v:imagedata r:id="rId10" o:title=""/>
                </v:shape>
                <w:control r:id="rId26" w:name="DefaultOcxName151" w:shapeid="_x0000_i115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54" type="#_x0000_t75" style="width:20.4pt;height:18.35pt" o:ole="">
                  <v:imagedata r:id="rId10" o:title=""/>
                </v:shape>
                <w:control r:id="rId27" w:name="DefaultOcxName161" w:shapeid="_x0000_i115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57" type="#_x0000_t75" style="width:20.4pt;height:18.35pt" o:ole="">
                  <v:imagedata r:id="rId10" o:title=""/>
                </v:shape>
                <w:control r:id="rId28" w:name="DefaultOcxName1711" w:shapeid="_x0000_i115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0" type="#_x0000_t75" style="width:20.4pt;height:18.35pt" o:ole="">
                  <v:imagedata r:id="rId10" o:title=""/>
                </v:shape>
                <w:control r:id="rId29" w:name="DefaultOcxName1811" w:shapeid="_x0000_i116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1366-10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3" type="#_x0000_t75" style="width:20.4pt;height:18.35pt" o:ole="">
                  <v:imagedata r:id="rId10" o:title=""/>
                </v:shape>
                <w:control r:id="rId30" w:name="DefaultOcxName191" w:shapeid="_x0000_i116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6" type="#_x0000_t75" style="width:20.4pt;height:18.35pt" o:ole="">
                  <v:imagedata r:id="rId10" o:title=""/>
                </v:shape>
                <w:control r:id="rId31" w:name="DefaultOcxName201" w:shapeid="_x0000_i116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69" type="#_x0000_t75" style="width:20.4pt;height:18.35pt" o:ole="">
                  <v:imagedata r:id="rId10" o:title=""/>
                </v:shape>
                <w:control r:id="rId32" w:name="DefaultOcxName211" w:shapeid="_x0000_i116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72" type="#_x0000_t75" style="width:20.4pt;height:18.35pt" o:ole="">
                  <v:imagedata r:id="rId10" o:title=""/>
                </v:shape>
                <w:control r:id="rId33" w:name="DefaultOcxName221" w:shapeid="_x0000_i117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75" type="#_x0000_t75" style="width:20.4pt;height:18.35pt" o:ole="">
                  <v:imagedata r:id="rId10" o:title=""/>
                </v:shape>
                <w:control r:id="rId34" w:name="DefaultOcxName231" w:shapeid="_x0000_i117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78" type="#_x0000_t75" style="width:20.4pt;height:18.35pt" o:ole="">
                  <v:imagedata r:id="rId10" o:title=""/>
                </v:shape>
                <w:control r:id="rId35" w:name="DefaultOcxName241" w:shapeid="_x0000_i117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1366-7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81" type="#_x0000_t75" style="width:20.4pt;height:18.35pt" o:ole="">
                  <v:imagedata r:id="rId10" o:title=""/>
                </v:shape>
                <w:control r:id="rId36" w:name="DefaultOcxName251" w:shapeid="_x0000_i118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1366-8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84" type="#_x0000_t75" style="width:20.4pt;height:18.35pt" o:ole="">
                  <v:imagedata r:id="rId10" o:title=""/>
                </v:shape>
                <w:control r:id="rId37" w:name="DefaultOcxName261" w:shapeid="_x0000_i118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1366-9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87" type="#_x0000_t75" style="width:20.4pt;height:18.35pt" o:ole="">
                  <v:imagedata r:id="rId10" o:title=""/>
                </v:shape>
                <w:control r:id="rId38" w:name="DefaultOcxName271" w:shapeid="_x0000_i118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14135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0" type="#_x0000_t75" style="width:20.4pt;height:18.35pt" o:ole="">
                  <v:imagedata r:id="rId10" o:title=""/>
                </v:shape>
                <w:control r:id="rId39" w:name="DefaultOcxName281" w:shapeid="_x0000_i119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3" type="#_x0000_t75" style="width:20.4pt;height:18.35pt" o:ole="">
                  <v:imagedata r:id="rId10" o:title=""/>
                </v:shape>
                <w:control r:id="rId40" w:name="DefaultOcxName291" w:shapeid="_x0000_i119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6" type="#_x0000_t75" style="width:20.4pt;height:18.35pt" o:ole="">
                  <v:imagedata r:id="rId10" o:title=""/>
                </v:shape>
                <w:control r:id="rId41" w:name="DefaultOcxName301" w:shapeid="_x0000_i119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199" type="#_x0000_t75" style="width:20.4pt;height:18.35pt" o:ole="">
                  <v:imagedata r:id="rId10" o:title=""/>
                </v:shape>
                <w:control r:id="rId42" w:name="DefaultOcxName311" w:shapeid="_x0000_i119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02" type="#_x0000_t75" style="width:20.4pt;height:18.35pt" o:ole="">
                  <v:imagedata r:id="rId10" o:title=""/>
                </v:shape>
                <w:control r:id="rId43" w:name="DefaultOcxName321" w:shapeid="_x0000_i120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05" type="#_x0000_t75" style="width:20.4pt;height:18.35pt" o:ole="">
                  <v:imagedata r:id="rId10" o:title=""/>
                </v:shape>
                <w:control r:id="rId44" w:name="DefaultOcxName331" w:shapeid="_x0000_i120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08" type="#_x0000_t75" style="width:20.4pt;height:18.35pt" o:ole="">
                  <v:imagedata r:id="rId10" o:title=""/>
                </v:shape>
                <w:control r:id="rId45" w:name="DefaultOcxName341" w:shapeid="_x0000_i120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13381-7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11.2.3.</w:t>
            </w:r>
          </w:p>
        </w:tc>
        <w:tc>
          <w:tcPr>
            <w:tcW w:w="7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  <w:r w:rsidRPr="00E864DC">
              <w:rPr>
                <w:rFonts w:asciiTheme="minorHAnsi" w:hAnsiTheme="minorHAnsi" w:cs="Tahoma"/>
                <w:color w:val="000000"/>
                <w:sz w:val="20"/>
                <w:szCs w:val="20"/>
              </w:rPr>
              <w:t>svojstva prilikom vanjskog požara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,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11" type="#_x0000_t75" style="width:20.4pt;height:18.35pt" o:ole="">
                  <v:imagedata r:id="rId10" o:title=""/>
                </v:shape>
                <w:control r:id="rId46" w:name="DefaultOcxName35" w:shapeid="_x0000_i121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TS 1187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11.2.4.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C2A65" w:rsidRDefault="000E2EA9" w:rsidP="00D8145F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apsorpcije buke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59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9556E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14" type="#_x0000_t75" style="width:20.4pt;height:18.35pt" o:ole="">
                  <v:imagedata r:id="rId10" o:title=""/>
                </v:shape>
                <w:control r:id="rId47" w:name="DefaultOcxName3611" w:shapeid="_x0000_i121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EN ISO 10140-1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Sound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insulation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10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17" type="#_x0000_t75" style="width:20.4pt;height:18.35pt" o:ole="">
                  <v:imagedata r:id="rId10" o:title=""/>
                </v:shape>
                <w:control r:id="rId48" w:name="DefaultOcxName3711" w:shapeid="_x0000_i121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EN ISO 10140-3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Sound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insulation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20" type="#_x0000_t75" style="width:20.4pt;height:18.35pt" o:ole="">
                  <v:imagedata r:id="rId10" o:title=""/>
                </v:shape>
                <w:control r:id="rId49" w:name="DefaultOcxName3811" w:shapeid="_x0000_i122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EN ISO 354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Sound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absorption</w:t>
            </w:r>
            <w:proofErr w:type="spellEnd"/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11.2.5.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emisija opasnih tvari</w:t>
            </w:r>
          </w:p>
          <w:p w:rsidR="000E2EA9" w:rsidRPr="003D1EBB" w:rsidRDefault="000E2EA9" w:rsidP="00D8145F">
            <w:pPr>
              <w:rPr>
                <w:rFonts w:asciiTheme="minorHAnsi" w:hAnsiTheme="minorHAnsi" w:cs="Tahoma"/>
                <w:noProof/>
                <w:sz w:val="22"/>
                <w:szCs w:val="22"/>
              </w:rPr>
            </w:pP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object w:dxaOrig="225" w:dyaOrig="225">
                <v:shape id="_x0000_i1223" type="#_x0000_t75" style="width:20.4pt;height:18.35pt" o:ole="">
                  <v:imagedata r:id="rId10" o:title=""/>
                </v:shape>
                <w:control r:id="rId50" w:name="DefaultOcxName39" w:shapeid="_x0000_i1223"/>
              </w:object>
            </w: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TS 16516:2014: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dangerous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substances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assessment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into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indoor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air</w:t>
            </w:r>
            <w:proofErr w:type="spellEnd"/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11.3.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KONTROLE PROIZVODNJE za radnje izdavanja certifikata </w:t>
            </w: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sukladnosti kontrole tvorničke proizvodnje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11.4.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PROIZVODA za radnje izdavanja certifikata </w:t>
            </w: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stalnosti svojstava proizvoda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DOKAZ O ISPUNJAVANJU ZAHTJEVA ZA PRIJAVLJENA TIJELA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i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- članak 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12. Zakona o građevnim proizvodima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(NN 76/13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i 30/14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)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-</w:t>
            </w:r>
            <w:r w:rsidRPr="000428DB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 xml:space="preserve">  </w:t>
            </w:r>
          </w:p>
          <w:p w:rsidR="000E2EA9" w:rsidRPr="00E864DC" w:rsidRDefault="000E2EA9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E864DC">
              <w:rPr>
                <w:rFonts w:asciiTheme="minorHAnsi" w:hAnsiTheme="minorHAnsi"/>
                <w:color w:val="000000"/>
                <w:sz w:val="18"/>
                <w:szCs w:val="18"/>
              </w:rPr>
              <w:t>(3) Prijavljena tijela dokazuju ispunjavanje zahtjeva iz članka 43. Uredbe (EU) br. 305/2011 potvrdom o akreditaciji izdanom od nacionalnog akreditacijskog tijela o osposobljenosti u skladu sa zahtjevima propisanim pravilnikom iz članka 23.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0E2EA9" w:rsidRPr="00E864DC" w:rsidRDefault="000E2EA9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navesti  broj i datum akreditacije, datum važećeg priloga iste u kojemu je sadržano područje akreditacije, te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datum isteka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 akreditacije</w:t>
            </w: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</w:p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i/>
                <w:sz w:val="10"/>
                <w:szCs w:val="10"/>
              </w:rPr>
            </w:pPr>
          </w:p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864DC">
              <w:rPr>
                <w:rFonts w:asciiTheme="minorHAnsi" w:hAnsiTheme="minorHAnsi" w:cs="Tahoma"/>
                <w:i/>
                <w:sz w:val="16"/>
                <w:szCs w:val="16"/>
              </w:rPr>
              <w:t>(istu dostaviti u prilogu ovog zahtjeva)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POTVRDA   O AKREDITACIJI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HRN EN ISO/IEC  17025:2007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HRN EN  17065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2013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DOKAZ O ISPUNJAVANJU ČLANKA 43. STAVAK 11.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Uredbe (EU) 305/2011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Sudjelovanje u europskim grupama ovlaštenih tijela </w:t>
            </w:r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  </w:t>
            </w:r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>/navesti u kojim/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Članstvo u međunarodnim organizacijama, društvima</w:t>
            </w:r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  <w:lang w:val="sl-SI"/>
              </w:rPr>
              <w:t>/</w:t>
            </w:r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>navesti</w:t>
            </w:r>
            <w:r>
              <w:rPr>
                <w:rFonts w:asciiTheme="minorHAnsi" w:hAnsiTheme="minorHAnsi"/>
                <w:sz w:val="18"/>
                <w:szCs w:val="18"/>
                <w:lang w:val="sl-SI"/>
              </w:rPr>
              <w:t xml:space="preserve"> u  kojim/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8D13D8" w:rsidRDefault="000E2EA9" w:rsidP="00D8145F">
            <w:pPr>
              <w:ind w:left="177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Statut i/ili drugi opći akt iz kojega je vidljivo da je zainteresirana osoba ispunila druge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propisane zahtjeve </w:t>
            </w:r>
          </w:p>
          <w:p w:rsidR="000E2EA9" w:rsidRPr="008D13D8" w:rsidRDefault="000E2EA9" w:rsidP="00D8145F">
            <w:pPr>
              <w:ind w:left="147"/>
              <w:jc w:val="both"/>
              <w:rPr>
                <w:rFonts w:asciiTheme="minorHAnsi" w:hAnsiTheme="minorHAnsi" w:cs="Tahoma"/>
                <w:i/>
                <w:noProof/>
                <w:sz w:val="18"/>
                <w:szCs w:val="18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/Upisati dokumente i datum izdavanja dokumenata iz kojih je vidljivo da ovlaštena osoba ispunjava   </w:t>
            </w:r>
          </w:p>
          <w:p w:rsidR="000E2EA9" w:rsidRPr="008D13D8" w:rsidRDefault="000E2EA9" w:rsidP="00D8145F">
            <w:pPr>
              <w:ind w:left="13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uvjete. Dostavljaju se u  prilogu ovog  zahtjeva/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14.3.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DC3E5E" w:rsidRDefault="000E2EA9" w:rsidP="00D8145F">
            <w:pPr>
              <w:ind w:left="4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>Podaci o tehničkoj opremljenosti i lokacijama na kojima se obavljaju poslovi</w:t>
            </w:r>
          </w:p>
          <w:p w:rsidR="000E2EA9" w:rsidRPr="00DC3E5E" w:rsidRDefault="000E2EA9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C3E5E">
              <w:rPr>
                <w:rFonts w:asciiTheme="minorHAnsi" w:hAnsiTheme="minorHAnsi" w:cs="Tahoma"/>
                <w:noProof/>
                <w:sz w:val="18"/>
                <w:szCs w:val="18"/>
              </w:rPr>
              <w:t>/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upisati dokumente koji se odnose na oso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blje, lokaciju i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opremu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laboratorija, te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tlocrt laboratorija, a koji se dostavljaju u  prilogu ovog  zahtjeva/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ODGOVORNIH OSOBA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OBAVLJANJE RADNJI U POSTUPKU  OCJENJIVANJA I PROVJERE STALNOSTI SVOJSTAVA </w:t>
            </w:r>
            <w:r w:rsidRPr="001068B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KOJE SE PODNOSI ZAHTJEV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 za </w:t>
            </w:r>
            <w:r w:rsidRPr="005F444D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ocjenjivanja svojst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a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va građevnog proizvoda na temelju ispitivanja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11. Uredbe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, odnosno čl.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za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radnje ocjenjivanja i provjere svojstava građevnih proizvoda u odnosu na bitne značajke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NADZORA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IZDAVANJA </w:t>
            </w:r>
          </w:p>
          <w:p w:rsidR="000E2EA9" w:rsidRPr="000428DB" w:rsidRDefault="000E2EA9" w:rsidP="00D8145F">
            <w:pPr>
              <w:pStyle w:val="t-9-8"/>
              <w:spacing w:before="0" w:beforeAutospacing="0" w:after="0" w:afterAutospacing="0" w:line="240" w:lineRule="atLeast"/>
              <w:ind w:left="3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 O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SUKLADNOSTI KONTROLE TVORNIČKE PROIZVODNJE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9. Pravilnika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IZDAVANJA 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O STALNOSTI SVOJSTAVA PROIZVODA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 Pravilnika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1068B8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DC3E5E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Ostala dostavljena dokumentacija  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17.1.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17.2.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80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l-SI"/>
              </w:rPr>
              <w:t>Tražimo da se u skladu s člankom 14. Zakona o građevnim proizvodima (NN 76/13 i 30/14), p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o </w:t>
            </w:r>
            <w:r>
              <w:rPr>
                <w:rFonts w:asciiTheme="minorHAnsi" w:hAnsiTheme="minorHAnsi"/>
                <w:sz w:val="20"/>
                <w:szCs w:val="20"/>
                <w:lang w:val="sl-SI"/>
              </w:rPr>
              <w:t>pravomoćnosti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rješenja o ispunjavanju zahtjeva za prijavljena tijela </w:t>
            </w:r>
            <w:r w:rsidRPr="000428DB">
              <w:rPr>
                <w:rFonts w:asciiTheme="minorHAnsi" w:hAnsiTheme="minorHAnsi"/>
                <w:color w:val="000000"/>
                <w:sz w:val="20"/>
                <w:szCs w:val="20"/>
              </w:rPr>
              <w:t>za obavljanje radnji  ocjenjivanja i provjere stalnosti svojstava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a prema ovom zahtjevu</w:t>
            </w:r>
            <w:r w:rsidRPr="000428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provede prijava prema Europskoj komisiji  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u cilju dobivanja statusa prijavljenog tijela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line="240" w:lineRule="atLeast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DA/NE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803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Ime i prezime osobe 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ovlaštene za zastupanje tvrtke: 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Vlastoručni potpis i pečat: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Mjesto i datum: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2EA9" w:rsidRPr="00A01B85" w:rsidRDefault="000E2EA9" w:rsidP="000E2EA9">
      <w:pPr>
        <w:rPr>
          <w:rFonts w:ascii="Tahoma" w:hAnsi="Tahoma" w:cs="Tahoma"/>
          <w:sz w:val="16"/>
          <w:szCs w:val="16"/>
        </w:rPr>
      </w:pPr>
    </w:p>
    <w:p w:rsidR="000E2EA9" w:rsidRDefault="000E2EA9" w:rsidP="000E2EA9">
      <w:pPr>
        <w:rPr>
          <w:rFonts w:ascii="Tahoma" w:hAnsi="Tahoma" w:cs="Tahoma"/>
          <w:sz w:val="16"/>
          <w:szCs w:val="16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sectPr w:rsidR="000E2EA9" w:rsidSect="005F444D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567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3A" w:rsidRDefault="00102E8A">
      <w:r>
        <w:separator/>
      </w:r>
    </w:p>
  </w:endnote>
  <w:endnote w:type="continuationSeparator" w:id="0">
    <w:p w:rsidR="00E6583A" w:rsidRDefault="001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91" w:rsidRDefault="000E2EA9" w:rsidP="005B72F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F7891" w:rsidRDefault="008A08ED" w:rsidP="005B72F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91" w:rsidRDefault="000E2EA9" w:rsidP="003C2A65">
    <w:pPr>
      <w:pStyle w:val="Podnoje"/>
      <w:tabs>
        <w:tab w:val="clear" w:pos="453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8A08ED">
      <w:rPr>
        <w:rFonts w:ascii="Tahoma" w:hAnsi="Tahoma" w:cs="Tahoma"/>
        <w:noProof/>
        <w:sz w:val="16"/>
        <w:szCs w:val="16"/>
      </w:rPr>
      <w:t>15.2.2017.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provođenje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</w:t>
    </w:r>
  </w:p>
  <w:p w:rsidR="00DF7891" w:rsidRDefault="008A08ED" w:rsidP="003C2A65">
    <w:pPr>
      <w:pStyle w:val="Podnoje"/>
      <w:jc w:val="right"/>
      <w:rPr>
        <w:rFonts w:ascii="Tahoma" w:hAnsi="Tahoma" w:cs="Tahoma"/>
        <w:sz w:val="16"/>
        <w:szCs w:val="16"/>
      </w:rPr>
    </w:pPr>
  </w:p>
  <w:p w:rsidR="00DF7891" w:rsidRPr="003A13D8" w:rsidRDefault="000E2EA9" w:rsidP="003C2A65">
    <w:pPr>
      <w:pStyle w:val="Podnoje"/>
      <w:tabs>
        <w:tab w:val="clear" w:pos="4536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8A08ED">
      <w:rPr>
        <w:rFonts w:ascii="Tahoma" w:hAnsi="Tahoma" w:cs="Tahoma"/>
        <w:noProof/>
        <w:sz w:val="16"/>
        <w:szCs w:val="16"/>
      </w:rPr>
      <w:t>5</w:t>
    </w:r>
    <w:r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91" w:rsidRDefault="000E2EA9">
    <w:pPr>
      <w:pStyle w:val="Podnoje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8A08ED">
      <w:rPr>
        <w:rFonts w:ascii="Tahoma" w:hAnsi="Tahoma" w:cs="Tahoma"/>
        <w:noProof/>
        <w:sz w:val="16"/>
        <w:szCs w:val="16"/>
      </w:rPr>
      <w:t>15.2.2017.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3A" w:rsidRDefault="00102E8A">
      <w:r>
        <w:separator/>
      </w:r>
    </w:p>
  </w:footnote>
  <w:footnote w:type="continuationSeparator" w:id="0">
    <w:p w:rsidR="00E6583A" w:rsidRDefault="0010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91" w:rsidRPr="00575763" w:rsidRDefault="008A08ED" w:rsidP="005F444D">
    <w:pPr>
      <w:rPr>
        <w:rFonts w:ascii="Tahoma" w:hAnsi="Tahoma" w:cs="Tahoma"/>
        <w:sz w:val="16"/>
        <w:szCs w:val="16"/>
      </w:rPr>
    </w:pPr>
  </w:p>
  <w:p w:rsidR="00DF7891" w:rsidRDefault="008A08ED">
    <w:pPr>
      <w:pStyle w:val="Zaglavlje"/>
    </w:pPr>
  </w:p>
  <w:p w:rsidR="00DF7891" w:rsidRDefault="008A08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91" w:rsidRDefault="000E2EA9" w:rsidP="005B72F4">
    <w:pPr>
      <w:spacing w:line="240" w:lineRule="atLeas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</w:t>
    </w:r>
    <w:r w:rsidRPr="00A35D07">
      <w:rPr>
        <w:rFonts w:asciiTheme="minorHAnsi" w:eastAsiaTheme="minorHAnsi" w:hAnsiTheme="minorHAnsi" w:cstheme="minorBidi"/>
        <w:noProof/>
        <w:color w:val="0000FF"/>
        <w:sz w:val="22"/>
        <w:szCs w:val="22"/>
      </w:rPr>
      <w:drawing>
        <wp:inline distT="0" distB="0" distL="0" distR="0" wp14:anchorId="29B93AA8" wp14:editId="420C11AD">
          <wp:extent cx="276625" cy="338097"/>
          <wp:effectExtent l="0" t="0" r="9525" b="5080"/>
          <wp:docPr id="15" name="Slika 15" descr="Slika:Croatian Coat of Arms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:Croatian Coat of Arms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58" cy="33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</w:t>
    </w:r>
  </w:p>
  <w:p w:rsidR="00DF7891" w:rsidRPr="00A35D07" w:rsidRDefault="000E2EA9" w:rsidP="005B72F4">
    <w:pPr>
      <w:spacing w:line="240" w:lineRule="atLeas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35D07">
      <w:rPr>
        <w:rFonts w:ascii="Arial" w:eastAsiaTheme="minorHAnsi" w:hAnsi="Arial" w:cs="Arial"/>
        <w:b/>
        <w:sz w:val="16"/>
        <w:szCs w:val="16"/>
        <w:lang w:eastAsia="en-US"/>
      </w:rPr>
      <w:t>REPUBLIKA HRVATSKA</w:t>
    </w:r>
  </w:p>
  <w:p w:rsidR="00DF7891" w:rsidRPr="00A35D07" w:rsidRDefault="000E2EA9" w:rsidP="005B72F4">
    <w:pPr>
      <w:spacing w:line="240" w:lineRule="atLeast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MINISTARSTVO </w:t>
    </w:r>
    <w:r w:rsidRPr="00A35D07">
      <w:rPr>
        <w:rFonts w:ascii="Arial" w:eastAsiaTheme="minorHAnsi" w:hAnsi="Arial" w:cs="Arial"/>
        <w:sz w:val="16"/>
        <w:szCs w:val="16"/>
        <w:lang w:eastAsia="en-US"/>
      </w:rPr>
      <w:t xml:space="preserve">GRADITELJSTVA I </w:t>
    </w:r>
    <w:r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Pr="00A35D07">
      <w:rPr>
        <w:rFonts w:ascii="Arial" w:eastAsiaTheme="minorHAnsi" w:hAnsi="Arial" w:cs="Arial"/>
        <w:sz w:val="16"/>
        <w:szCs w:val="16"/>
        <w:lang w:eastAsia="en-US"/>
      </w:rPr>
      <w:t>PROSTORNOGA UREĐENJA</w:t>
    </w:r>
  </w:p>
  <w:p w:rsidR="00DF7891" w:rsidRPr="00A35D07" w:rsidRDefault="000E2EA9" w:rsidP="005B72F4">
    <w:pPr>
      <w:spacing w:line="240" w:lineRule="atLeast"/>
      <w:rPr>
        <w:rFonts w:ascii="Arial" w:eastAsiaTheme="minorHAnsi" w:hAnsi="Arial" w:cs="Arial"/>
        <w:sz w:val="18"/>
        <w:szCs w:val="18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Uprava za graditeljstvo i  energetsku učinkovitost u </w:t>
    </w:r>
    <w:proofErr w:type="spellStart"/>
    <w:r>
      <w:rPr>
        <w:rFonts w:ascii="Arial" w:eastAsiaTheme="minorHAnsi" w:hAnsi="Arial" w:cs="Arial"/>
        <w:sz w:val="16"/>
        <w:szCs w:val="16"/>
        <w:lang w:eastAsia="en-US"/>
      </w:rPr>
      <w:t>zgradarstvu</w:t>
    </w:r>
    <w:proofErr w:type="spellEnd"/>
  </w:p>
  <w:p w:rsidR="00DF7891" w:rsidRDefault="000E2EA9" w:rsidP="005B72F4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- SEKTOR ZA GRADITELJSTVO -  </w:t>
    </w:r>
  </w:p>
  <w:p w:rsidR="00DF7891" w:rsidRPr="00E955C1" w:rsidRDefault="008A08ED" w:rsidP="005B72F4">
    <w:pPr>
      <w:jc w:val="right"/>
      <w:rPr>
        <w:rFonts w:ascii="Tahoma" w:hAnsi="Tahoma" w:cs="Tahoma"/>
        <w:b/>
        <w:sz w:val="10"/>
        <w:szCs w:val="10"/>
      </w:rPr>
    </w:pPr>
  </w:p>
  <w:p w:rsidR="00DF7891" w:rsidRPr="00575763" w:rsidRDefault="000E2EA9" w:rsidP="005B72F4">
    <w:pPr>
      <w:rPr>
        <w:rFonts w:ascii="Tahoma" w:hAnsi="Tahoma" w:cs="Tahoma"/>
        <w:sz w:val="16"/>
        <w:szCs w:val="16"/>
      </w:rPr>
    </w:pPr>
    <w:r w:rsidRPr="00575763">
      <w:rPr>
        <w:rFonts w:ascii="Tahoma" w:hAnsi="Tahoma" w:cs="Tahoma"/>
        <w:b/>
        <w:sz w:val="16"/>
        <w:szCs w:val="16"/>
      </w:rPr>
      <w:t xml:space="preserve">OBRAZAC 1 – zahtjev za </w:t>
    </w:r>
    <w:r>
      <w:rPr>
        <w:rFonts w:ascii="Tahoma" w:hAnsi="Tahoma" w:cs="Tahoma"/>
        <w:b/>
        <w:sz w:val="16"/>
        <w:szCs w:val="16"/>
      </w:rPr>
      <w:t>prijavljena tijela</w:t>
    </w:r>
  </w:p>
  <w:p w:rsidR="00DF7891" w:rsidRDefault="008A08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513C"/>
    <w:multiLevelType w:val="hybridMultilevel"/>
    <w:tmpl w:val="CD2A534A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9"/>
    <w:rsid w:val="000E2EA9"/>
    <w:rsid w:val="00102E8A"/>
    <w:rsid w:val="008A08ED"/>
    <w:rsid w:val="00A624E5"/>
    <w:rsid w:val="00B45DF0"/>
    <w:rsid w:val="00B72E15"/>
    <w:rsid w:val="00C34B33"/>
    <w:rsid w:val="00CB4AFD"/>
    <w:rsid w:val="00E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81E59DDE-38DD-43D1-8EC9-FECBCDC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0E2EA9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0E2E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EA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E2EA9"/>
  </w:style>
  <w:style w:type="character" w:styleId="Hiperveza">
    <w:name w:val="Hyperlink"/>
    <w:rsid w:val="000E2EA9"/>
    <w:rPr>
      <w:strike w:val="0"/>
      <w:dstrike w:val="0"/>
      <w:color w:val="125B2F"/>
      <w:u w:val="none"/>
      <w:effect w:val="none"/>
    </w:rPr>
  </w:style>
  <w:style w:type="paragraph" w:customStyle="1" w:styleId="t-9-8">
    <w:name w:val="t-9-8"/>
    <w:basedOn w:val="Normal"/>
    <w:rsid w:val="000E2EA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0E2EA9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0E2E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oter" Target="footer3.xml"/><Relationship Id="rId7" Type="http://schemas.openxmlformats.org/officeDocument/2006/relationships/hyperlink" Target="http://eur-lex.europa.eu/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terprise/newapproach/nando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hyperlink" Target="http://ec.europa.eu/enterprise/newapproach/nando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5/5c/Croatian_Coat_of_Arms.sv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1278</Words>
  <Characters>7285</Characters>
  <Application>Microsoft Office Word</Application>
  <DocSecurity>0</DocSecurity>
  <Lines>60</Lines>
  <Paragraphs>17</Paragraphs>
  <ScaleCrop>false</ScaleCrop>
  <Company>MGIPU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Banov</dc:creator>
  <cp:keywords/>
  <dc:description/>
  <cp:lastModifiedBy>Dubravka Banov</cp:lastModifiedBy>
  <cp:revision>7</cp:revision>
  <dcterms:created xsi:type="dcterms:W3CDTF">2017-01-31T15:15:00Z</dcterms:created>
  <dcterms:modified xsi:type="dcterms:W3CDTF">2017-02-15T12:26:00Z</dcterms:modified>
</cp:coreProperties>
</file>